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A" w:rsidRPr="00E3326F" w:rsidRDefault="001649D7" w:rsidP="00AA2FF5">
      <w:pPr>
        <w:shd w:val="clear" w:color="auto" w:fill="F2F2F2" w:themeFill="background1" w:themeFillShade="F2"/>
        <w:spacing w:after="0"/>
        <w:jc w:val="center"/>
        <w:rPr>
          <w:b/>
          <w:sz w:val="44"/>
          <w:szCs w:val="44"/>
        </w:rPr>
      </w:pPr>
      <w:r w:rsidRPr="00E3326F">
        <w:rPr>
          <w:b/>
          <w:sz w:val="44"/>
          <w:szCs w:val="44"/>
        </w:rPr>
        <w:t>III PRVENSTVO CRNE GORE U GRADNJI SUVOMEĐE</w:t>
      </w:r>
    </w:p>
    <w:p w:rsidR="00E3326F" w:rsidRDefault="00E3326F" w:rsidP="001649D7">
      <w:pPr>
        <w:spacing w:after="0"/>
        <w:jc w:val="center"/>
        <w:rPr>
          <w:b/>
          <w:sz w:val="56"/>
          <w:szCs w:val="56"/>
        </w:rPr>
      </w:pPr>
    </w:p>
    <w:p w:rsidR="00E3326F" w:rsidRDefault="00E3326F" w:rsidP="001649D7">
      <w:pPr>
        <w:spacing w:after="0"/>
        <w:jc w:val="center"/>
        <w:rPr>
          <w:b/>
          <w:sz w:val="56"/>
          <w:szCs w:val="56"/>
        </w:rPr>
      </w:pPr>
    </w:p>
    <w:p w:rsidR="003C02EA" w:rsidRPr="001649D7" w:rsidRDefault="00E3326F" w:rsidP="001649D7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PRAVILA</w:t>
      </w:r>
    </w:p>
    <w:p w:rsidR="003C02EA" w:rsidRDefault="003C02EA" w:rsidP="00682757">
      <w:pPr>
        <w:spacing w:after="0"/>
        <w:rPr>
          <w:b/>
        </w:rPr>
      </w:pPr>
    </w:p>
    <w:p w:rsidR="00E3326F" w:rsidRDefault="00E3326F" w:rsidP="00682757">
      <w:pPr>
        <w:spacing w:after="0"/>
        <w:rPr>
          <w:b/>
        </w:rPr>
      </w:pPr>
    </w:p>
    <w:p w:rsidR="00E3326F" w:rsidRDefault="00E3326F" w:rsidP="00682757">
      <w:pPr>
        <w:spacing w:after="0"/>
        <w:rPr>
          <w:b/>
        </w:rPr>
      </w:pPr>
    </w:p>
    <w:p w:rsidR="001649D7" w:rsidRPr="00E3326F" w:rsidRDefault="00E3326F" w:rsidP="00E3326F">
      <w:pPr>
        <w:spacing w:after="0"/>
        <w:jc w:val="both"/>
        <w:rPr>
          <w:sz w:val="28"/>
          <w:szCs w:val="28"/>
        </w:rPr>
      </w:pPr>
      <w:r w:rsidRPr="00E3326F">
        <w:rPr>
          <w:sz w:val="28"/>
          <w:szCs w:val="28"/>
        </w:rPr>
        <w:t xml:space="preserve">Takmičenje je ekipno, ekipe se sastoje od 3 punoljetna člana, od kojih je jedan kapiten. Ekipa, da bi bila u zvaničnoj konkurenciji, mora se barem dvotrećinski sastojati od državljanja Crne Gore. Polni sastav nije bitan. </w:t>
      </w:r>
      <w:r w:rsidR="009A7A7D">
        <w:rPr>
          <w:sz w:val="28"/>
          <w:szCs w:val="28"/>
        </w:rPr>
        <w:t>Pojedinač</w:t>
      </w:r>
      <w:bookmarkStart w:id="0" w:name="_GoBack"/>
      <w:bookmarkEnd w:id="0"/>
      <w:r w:rsidR="00724F0C">
        <w:rPr>
          <w:sz w:val="28"/>
          <w:szCs w:val="28"/>
        </w:rPr>
        <w:t>ni s</w:t>
      </w:r>
      <w:r w:rsidR="00D55D6A">
        <w:rPr>
          <w:sz w:val="28"/>
          <w:szCs w:val="28"/>
        </w:rPr>
        <w:t xml:space="preserve">astav ekipe ne može se mijenjati nakon početka takmičenja. </w:t>
      </w:r>
      <w:r w:rsidRPr="00E3326F">
        <w:rPr>
          <w:sz w:val="28"/>
          <w:szCs w:val="28"/>
        </w:rPr>
        <w:t xml:space="preserve">Takmiči se ekipa po ekipa, na istom zadanom mjestu. Rok je 15 minuta. Ekipe se prijavljuju najkasnije 1h prije početka takmičenja. Svaka ekipa prilikom prijave daje i ime ekipe, koje mora biti u skladu sa prilikom, te ne smije imati političke, vjerske i nacionalne konotacije, što isto važi i za odjeću samih takmičara. Redosljed nastupa je po redosljedu prijavljivanja, a moguće je odstupanje, ako se ekipe o tome međusobno dogovore prije početka takmičenja. Organizator obezbjeđuje rukavice za učesnike i toplo preporučuje njihovu upotrebu. Učešće je besplatno, </w:t>
      </w:r>
      <w:r w:rsidR="00724F0C">
        <w:rPr>
          <w:sz w:val="28"/>
          <w:szCs w:val="28"/>
        </w:rPr>
        <w:t xml:space="preserve">a </w:t>
      </w:r>
      <w:r w:rsidRPr="00E3326F">
        <w:rPr>
          <w:sz w:val="28"/>
          <w:szCs w:val="28"/>
        </w:rPr>
        <w:t>na sopstvenu odgovornost.</w:t>
      </w:r>
    </w:p>
    <w:p w:rsidR="001649D7" w:rsidRDefault="001649D7" w:rsidP="00682757">
      <w:pPr>
        <w:spacing w:after="0"/>
        <w:rPr>
          <w:b/>
        </w:rPr>
      </w:pPr>
    </w:p>
    <w:p w:rsidR="00E3326F" w:rsidRDefault="00E3326F" w:rsidP="00682757">
      <w:pPr>
        <w:spacing w:after="0"/>
        <w:rPr>
          <w:b/>
        </w:rPr>
      </w:pPr>
    </w:p>
    <w:p w:rsidR="00E3326F" w:rsidRDefault="00E3326F" w:rsidP="00682757">
      <w:pPr>
        <w:spacing w:after="0"/>
        <w:rPr>
          <w:b/>
        </w:rPr>
      </w:pPr>
    </w:p>
    <w:p w:rsidR="00E3326F" w:rsidRDefault="00E3326F" w:rsidP="00682757">
      <w:pPr>
        <w:spacing w:after="0"/>
        <w:rPr>
          <w:b/>
        </w:rPr>
      </w:pPr>
    </w:p>
    <w:p w:rsidR="00E3326F" w:rsidRPr="001649D7" w:rsidRDefault="00E3326F" w:rsidP="00E3326F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BODOVANJE</w:t>
      </w:r>
    </w:p>
    <w:p w:rsidR="001649D7" w:rsidRDefault="001649D7" w:rsidP="00E3326F">
      <w:pPr>
        <w:spacing w:after="0"/>
        <w:jc w:val="center"/>
        <w:rPr>
          <w:b/>
        </w:rPr>
      </w:pPr>
    </w:p>
    <w:p w:rsidR="00E3326F" w:rsidRDefault="00E3326F" w:rsidP="00E3326F">
      <w:pPr>
        <w:spacing w:after="0"/>
        <w:jc w:val="center"/>
        <w:rPr>
          <w:b/>
        </w:rPr>
      </w:pPr>
    </w:p>
    <w:p w:rsidR="00E3326F" w:rsidRDefault="00E3326F" w:rsidP="00E3326F">
      <w:pPr>
        <w:spacing w:after="0"/>
        <w:jc w:val="center"/>
        <w:rPr>
          <w:b/>
        </w:rPr>
      </w:pPr>
    </w:p>
    <w:p w:rsidR="001649D7" w:rsidRDefault="001649D7" w:rsidP="00682757">
      <w:pPr>
        <w:spacing w:after="0"/>
        <w:rPr>
          <w:b/>
        </w:rPr>
      </w:pPr>
    </w:p>
    <w:p w:rsidR="00682757" w:rsidRPr="001649D7" w:rsidRDefault="001649D7" w:rsidP="00682757">
      <w:pPr>
        <w:spacing w:after="0"/>
        <w:rPr>
          <w:b/>
          <w:sz w:val="28"/>
          <w:szCs w:val="28"/>
        </w:rPr>
      </w:pPr>
      <w:r w:rsidRPr="001649D7">
        <w:rPr>
          <w:b/>
          <w:sz w:val="28"/>
          <w:szCs w:val="28"/>
        </w:rPr>
        <w:t>DUŽINA MEĐE</w:t>
      </w:r>
    </w:p>
    <w:p w:rsidR="001649D7" w:rsidRPr="001649D7" w:rsidRDefault="001649D7" w:rsidP="00682757">
      <w:pPr>
        <w:spacing w:after="0"/>
        <w:rPr>
          <w:b/>
          <w:sz w:val="28"/>
          <w:szCs w:val="28"/>
        </w:rPr>
      </w:pPr>
    </w:p>
    <w:tbl>
      <w:tblPr>
        <w:tblW w:w="1050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2126"/>
        <w:gridCol w:w="2126"/>
        <w:gridCol w:w="2127"/>
        <w:gridCol w:w="2126"/>
      </w:tblGrid>
      <w:tr w:rsidR="0045794A" w:rsidTr="00AA2FF5">
        <w:trPr>
          <w:trHeight w:val="564"/>
        </w:trPr>
        <w:tc>
          <w:tcPr>
            <w:tcW w:w="1998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3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126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3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126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33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127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33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</w:t>
            </w:r>
          </w:p>
        </w:tc>
        <w:tc>
          <w:tcPr>
            <w:tcW w:w="2126" w:type="dxa"/>
          </w:tcPr>
          <w:p w:rsidR="0045794A" w:rsidRDefault="0045794A" w:rsidP="00E332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="00E3326F">
              <w:rPr>
                <w:sz w:val="28"/>
                <w:szCs w:val="28"/>
              </w:rPr>
              <w:t>m</w:t>
            </w:r>
          </w:p>
        </w:tc>
      </w:tr>
      <w:tr w:rsidR="0045794A" w:rsidTr="00AA2FF5">
        <w:trPr>
          <w:trHeight w:val="572"/>
        </w:trPr>
        <w:tc>
          <w:tcPr>
            <w:tcW w:w="1998" w:type="dxa"/>
          </w:tcPr>
          <w:p w:rsidR="0045794A" w:rsidRP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poena</w:t>
            </w:r>
          </w:p>
        </w:tc>
        <w:tc>
          <w:tcPr>
            <w:tcW w:w="2126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poena</w:t>
            </w:r>
          </w:p>
        </w:tc>
        <w:tc>
          <w:tcPr>
            <w:tcW w:w="2126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poena</w:t>
            </w:r>
          </w:p>
        </w:tc>
        <w:tc>
          <w:tcPr>
            <w:tcW w:w="2127" w:type="dxa"/>
          </w:tcPr>
          <w:p w:rsidR="0045794A" w:rsidRDefault="0045794A" w:rsidP="0045794A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poena</w:t>
            </w:r>
          </w:p>
        </w:tc>
        <w:tc>
          <w:tcPr>
            <w:tcW w:w="2126" w:type="dxa"/>
          </w:tcPr>
          <w:p w:rsidR="0045794A" w:rsidRDefault="0045794A" w:rsidP="0045794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poena</w:t>
            </w:r>
          </w:p>
        </w:tc>
      </w:tr>
    </w:tbl>
    <w:p w:rsidR="0045794A" w:rsidRDefault="0045794A" w:rsidP="00682757">
      <w:pPr>
        <w:spacing w:after="0"/>
        <w:rPr>
          <w:b/>
          <w:sz w:val="28"/>
          <w:szCs w:val="28"/>
        </w:rPr>
      </w:pPr>
    </w:p>
    <w:p w:rsidR="0045794A" w:rsidRDefault="0045794A" w:rsidP="00682757">
      <w:pPr>
        <w:spacing w:after="0"/>
        <w:rPr>
          <w:b/>
          <w:sz w:val="28"/>
          <w:szCs w:val="28"/>
        </w:rPr>
      </w:pPr>
    </w:p>
    <w:p w:rsidR="00682757" w:rsidRPr="001649D7" w:rsidRDefault="001649D7" w:rsidP="00682757">
      <w:pPr>
        <w:spacing w:after="0"/>
        <w:rPr>
          <w:b/>
          <w:sz w:val="28"/>
          <w:szCs w:val="28"/>
        </w:rPr>
      </w:pPr>
      <w:r w:rsidRPr="001649D7">
        <w:rPr>
          <w:b/>
          <w:sz w:val="28"/>
          <w:szCs w:val="28"/>
        </w:rPr>
        <w:t>PROSJEČNA VISINA MEĐE</w:t>
      </w:r>
    </w:p>
    <w:p w:rsidR="001649D7" w:rsidRPr="001649D7" w:rsidRDefault="001649D7" w:rsidP="00682757">
      <w:pPr>
        <w:spacing w:after="0"/>
        <w:rPr>
          <w:b/>
          <w:sz w:val="28"/>
          <w:szCs w:val="28"/>
        </w:rPr>
      </w:pPr>
    </w:p>
    <w:tbl>
      <w:tblPr>
        <w:tblW w:w="1050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"/>
        <w:gridCol w:w="992"/>
        <w:gridCol w:w="1134"/>
        <w:gridCol w:w="992"/>
        <w:gridCol w:w="1134"/>
        <w:gridCol w:w="992"/>
        <w:gridCol w:w="1134"/>
        <w:gridCol w:w="993"/>
        <w:gridCol w:w="992"/>
        <w:gridCol w:w="1134"/>
      </w:tblGrid>
      <w:tr w:rsidR="00C05357" w:rsidRPr="00C05357" w:rsidTr="00AA2FF5">
        <w:trPr>
          <w:trHeight w:val="564"/>
        </w:trPr>
        <w:tc>
          <w:tcPr>
            <w:tcW w:w="1006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 w:rsidRPr="00C053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 c</w:t>
            </w:r>
            <w:r w:rsidRPr="00C05357"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cm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c</w:t>
            </w:r>
            <w:r w:rsidRPr="00C05357"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cm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c</w:t>
            </w:r>
            <w:r w:rsidRPr="00C05357">
              <w:rPr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cm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c</w:t>
            </w:r>
            <w:r w:rsidRPr="00C05357">
              <w:rPr>
                <w:sz w:val="28"/>
                <w:szCs w:val="28"/>
              </w:rPr>
              <w:t>m</w:t>
            </w:r>
          </w:p>
        </w:tc>
        <w:tc>
          <w:tcPr>
            <w:tcW w:w="993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cm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cm</w:t>
            </w:r>
            <w:r w:rsidRPr="00C053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cm</w:t>
            </w:r>
          </w:p>
        </w:tc>
      </w:tr>
      <w:tr w:rsidR="00C05357" w:rsidRPr="00C05357" w:rsidTr="00AA2FF5">
        <w:trPr>
          <w:trHeight w:val="572"/>
        </w:trPr>
        <w:tc>
          <w:tcPr>
            <w:tcW w:w="1006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05357">
              <w:rPr>
                <w:sz w:val="28"/>
                <w:szCs w:val="28"/>
              </w:rPr>
              <w:t xml:space="preserve"> poen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poena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05357">
              <w:rPr>
                <w:sz w:val="28"/>
                <w:szCs w:val="28"/>
              </w:rPr>
              <w:t xml:space="preserve"> poena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poena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05357">
              <w:rPr>
                <w:sz w:val="28"/>
                <w:szCs w:val="28"/>
              </w:rPr>
              <w:t xml:space="preserve"> poena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poena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05357">
              <w:rPr>
                <w:sz w:val="28"/>
                <w:szCs w:val="28"/>
              </w:rPr>
              <w:t xml:space="preserve"> poena</w:t>
            </w:r>
          </w:p>
        </w:tc>
        <w:tc>
          <w:tcPr>
            <w:tcW w:w="993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poena</w:t>
            </w:r>
          </w:p>
        </w:tc>
        <w:tc>
          <w:tcPr>
            <w:tcW w:w="992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05357">
              <w:rPr>
                <w:sz w:val="28"/>
                <w:szCs w:val="28"/>
              </w:rPr>
              <w:t xml:space="preserve"> poena</w:t>
            </w:r>
          </w:p>
        </w:tc>
        <w:tc>
          <w:tcPr>
            <w:tcW w:w="1134" w:type="dxa"/>
          </w:tcPr>
          <w:p w:rsidR="00C05357" w:rsidRPr="00C05357" w:rsidRDefault="00C05357" w:rsidP="00C0535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poena</w:t>
            </w:r>
          </w:p>
        </w:tc>
      </w:tr>
    </w:tbl>
    <w:p w:rsidR="001649D7" w:rsidRPr="001649D7" w:rsidRDefault="001649D7" w:rsidP="00682757">
      <w:pPr>
        <w:spacing w:after="0"/>
        <w:rPr>
          <w:b/>
          <w:sz w:val="28"/>
          <w:szCs w:val="28"/>
        </w:rPr>
      </w:pPr>
    </w:p>
    <w:p w:rsidR="00682757" w:rsidRPr="001649D7" w:rsidRDefault="00682757" w:rsidP="00682757">
      <w:pPr>
        <w:spacing w:after="0"/>
        <w:rPr>
          <w:b/>
          <w:sz w:val="28"/>
          <w:szCs w:val="28"/>
        </w:rPr>
      </w:pPr>
    </w:p>
    <w:p w:rsidR="00192EBE" w:rsidRPr="001649D7" w:rsidRDefault="001649D7" w:rsidP="00682757">
      <w:pPr>
        <w:spacing w:after="0"/>
        <w:rPr>
          <w:b/>
          <w:sz w:val="28"/>
          <w:szCs w:val="28"/>
        </w:rPr>
      </w:pPr>
      <w:r w:rsidRPr="001649D7">
        <w:rPr>
          <w:b/>
          <w:sz w:val="28"/>
          <w:szCs w:val="28"/>
        </w:rPr>
        <w:t>KONUSNA ŠIRINA ZIDA</w:t>
      </w:r>
    </w:p>
    <w:p w:rsidR="001649D7" w:rsidRDefault="001649D7" w:rsidP="00682757">
      <w:pPr>
        <w:spacing w:after="0"/>
        <w:rPr>
          <w:b/>
          <w:sz w:val="28"/>
          <w:szCs w:val="28"/>
        </w:rPr>
      </w:pPr>
    </w:p>
    <w:tbl>
      <w:tblPr>
        <w:tblW w:w="10503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2111"/>
        <w:gridCol w:w="2112"/>
        <w:gridCol w:w="2116"/>
        <w:gridCol w:w="2111"/>
      </w:tblGrid>
      <w:tr w:rsidR="00E3326F" w:rsidTr="004B32B6">
        <w:trPr>
          <w:trHeight w:val="564"/>
        </w:trPr>
        <w:tc>
          <w:tcPr>
            <w:tcW w:w="1998" w:type="dxa"/>
          </w:tcPr>
          <w:p w:rsidR="00E3326F" w:rsidRDefault="00E3326F" w:rsidP="00E3326F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Zid koji ima ispupčenja i opštu neujednačenost nagiba</w:t>
            </w:r>
          </w:p>
        </w:tc>
        <w:tc>
          <w:tcPr>
            <w:tcW w:w="2126" w:type="dxa"/>
          </w:tcPr>
          <w:p w:rsidR="00E3326F" w:rsidRDefault="007E7198" w:rsidP="00E3326F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Zid koji ima v</w:t>
            </w:r>
            <w:r w:rsidR="00E3326F">
              <w:rPr>
                <w:sz w:val="28"/>
                <w:szCs w:val="28"/>
              </w:rPr>
              <w:t>ertikalna lica</w:t>
            </w:r>
          </w:p>
          <w:p w:rsidR="00E3326F" w:rsidRDefault="00E3326F" w:rsidP="00E3326F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(50 cm širina zida i u bazi i na vrhu)</w:t>
            </w:r>
          </w:p>
        </w:tc>
        <w:tc>
          <w:tcPr>
            <w:tcW w:w="2126" w:type="dxa"/>
          </w:tcPr>
          <w:p w:rsidR="00E3326F" w:rsidRDefault="00E3326F" w:rsidP="00E3326F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Nagib koji u je različit na raznim dijelovima zida</w:t>
            </w:r>
          </w:p>
        </w:tc>
        <w:tc>
          <w:tcPr>
            <w:tcW w:w="2127" w:type="dxa"/>
          </w:tcPr>
          <w:p w:rsidR="00E3326F" w:rsidRDefault="00E3326F" w:rsidP="00E3326F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Nagib lica nešto veći ili manji od optimalnog</w:t>
            </w:r>
          </w:p>
        </w:tc>
        <w:tc>
          <w:tcPr>
            <w:tcW w:w="2126" w:type="dxa"/>
          </w:tcPr>
          <w:p w:rsidR="00E3326F" w:rsidRDefault="00E3326F" w:rsidP="00E3326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Optimalni nagib </w:t>
            </w:r>
          </w:p>
        </w:tc>
      </w:tr>
      <w:tr w:rsidR="00E3326F" w:rsidTr="004B32B6">
        <w:trPr>
          <w:trHeight w:val="572"/>
        </w:trPr>
        <w:tc>
          <w:tcPr>
            <w:tcW w:w="1998" w:type="dxa"/>
          </w:tcPr>
          <w:p w:rsidR="00E3326F" w:rsidRPr="0045794A" w:rsidRDefault="00E3326F" w:rsidP="004B32B6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poena</w:t>
            </w:r>
          </w:p>
        </w:tc>
        <w:tc>
          <w:tcPr>
            <w:tcW w:w="2126" w:type="dxa"/>
          </w:tcPr>
          <w:p w:rsidR="00E3326F" w:rsidRDefault="00E3326F" w:rsidP="004B32B6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poena</w:t>
            </w:r>
          </w:p>
        </w:tc>
        <w:tc>
          <w:tcPr>
            <w:tcW w:w="2126" w:type="dxa"/>
          </w:tcPr>
          <w:p w:rsidR="00E3326F" w:rsidRDefault="00E3326F" w:rsidP="004B32B6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poena</w:t>
            </w:r>
          </w:p>
        </w:tc>
        <w:tc>
          <w:tcPr>
            <w:tcW w:w="2127" w:type="dxa"/>
          </w:tcPr>
          <w:p w:rsidR="00E3326F" w:rsidRDefault="00E3326F" w:rsidP="004B32B6">
            <w:pPr>
              <w:spacing w:after="0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poena</w:t>
            </w:r>
          </w:p>
        </w:tc>
        <w:tc>
          <w:tcPr>
            <w:tcW w:w="2126" w:type="dxa"/>
          </w:tcPr>
          <w:p w:rsidR="00E3326F" w:rsidRDefault="00E3326F" w:rsidP="004B32B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poena</w:t>
            </w:r>
          </w:p>
        </w:tc>
      </w:tr>
    </w:tbl>
    <w:p w:rsidR="00E3326F" w:rsidRDefault="00E3326F" w:rsidP="00E3326F">
      <w:pPr>
        <w:spacing w:after="0"/>
        <w:rPr>
          <w:b/>
          <w:sz w:val="28"/>
          <w:szCs w:val="28"/>
        </w:rPr>
      </w:pPr>
    </w:p>
    <w:p w:rsidR="00E3326F" w:rsidRPr="001649D7" w:rsidRDefault="00E3326F" w:rsidP="00682757">
      <w:pPr>
        <w:spacing w:after="0"/>
        <w:rPr>
          <w:b/>
          <w:sz w:val="28"/>
          <w:szCs w:val="28"/>
        </w:rPr>
      </w:pPr>
    </w:p>
    <w:p w:rsidR="00682757" w:rsidRPr="001649D7" w:rsidRDefault="001649D7" w:rsidP="00682757">
      <w:pPr>
        <w:spacing w:after="0"/>
        <w:rPr>
          <w:b/>
          <w:sz w:val="28"/>
          <w:szCs w:val="28"/>
        </w:rPr>
      </w:pPr>
      <w:r w:rsidRPr="001649D7">
        <w:rPr>
          <w:b/>
          <w:sz w:val="28"/>
          <w:szCs w:val="28"/>
        </w:rPr>
        <w:t>VRŠNA POVEZANOST</w:t>
      </w:r>
      <w:r w:rsidR="00E3326F">
        <w:rPr>
          <w:b/>
          <w:sz w:val="28"/>
          <w:szCs w:val="28"/>
        </w:rPr>
        <w:t xml:space="preserve"> I UJEDNAČENOST</w:t>
      </w:r>
    </w:p>
    <w:p w:rsidR="001649D7" w:rsidRPr="001649D7" w:rsidRDefault="001649D7" w:rsidP="00682757">
      <w:pPr>
        <w:spacing w:after="0"/>
        <w:rPr>
          <w:b/>
          <w:sz w:val="28"/>
          <w:szCs w:val="28"/>
        </w:rPr>
      </w:pPr>
    </w:p>
    <w:p w:rsidR="007E7198" w:rsidRDefault="007E7198" w:rsidP="00682757">
      <w:pPr>
        <w:spacing w:after="0"/>
        <w:rPr>
          <w:sz w:val="28"/>
          <w:szCs w:val="28"/>
        </w:rPr>
      </w:pPr>
      <w:r w:rsidRPr="007E7198">
        <w:rPr>
          <w:sz w:val="28"/>
          <w:szCs w:val="28"/>
        </w:rPr>
        <w:t>Cilj je</w:t>
      </w:r>
      <w:r>
        <w:rPr>
          <w:sz w:val="28"/>
          <w:szCs w:val="28"/>
        </w:rPr>
        <w:t xml:space="preserve"> da vršni dio suvomeđe bude što ravniji, sa ujednačenom visinom, bez „zubaca“ i sa ispunjenim šupljinama između kamenja. Vršni dio mora biti stabilan, te stoga izgrađen</w:t>
      </w:r>
      <w:r w:rsidR="000C0642">
        <w:rPr>
          <w:sz w:val="28"/>
          <w:szCs w:val="28"/>
        </w:rPr>
        <w:t xml:space="preserve"> uz optimalni balans većeg kamenja i popune.</w:t>
      </w:r>
    </w:p>
    <w:p w:rsidR="000C0642" w:rsidRDefault="000C0642" w:rsidP="00682757">
      <w:pPr>
        <w:spacing w:after="0"/>
        <w:rPr>
          <w:sz w:val="28"/>
          <w:szCs w:val="28"/>
        </w:rPr>
      </w:pPr>
    </w:p>
    <w:p w:rsidR="000C0642" w:rsidRDefault="000C0642" w:rsidP="00682757">
      <w:pPr>
        <w:spacing w:after="0"/>
        <w:rPr>
          <w:sz w:val="28"/>
          <w:szCs w:val="28"/>
        </w:rPr>
      </w:pPr>
      <w:r>
        <w:rPr>
          <w:sz w:val="28"/>
          <w:szCs w:val="28"/>
        </w:rPr>
        <w:t>Bodovanje je od 1 do 10 poena</w:t>
      </w:r>
    </w:p>
    <w:p w:rsidR="007E7198" w:rsidRDefault="007E7198" w:rsidP="00682757">
      <w:pPr>
        <w:spacing w:after="0"/>
        <w:rPr>
          <w:sz w:val="28"/>
          <w:szCs w:val="28"/>
        </w:rPr>
      </w:pPr>
    </w:p>
    <w:p w:rsidR="001649D7" w:rsidRPr="001649D7" w:rsidRDefault="007E7198" w:rsidP="0068275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9D7" w:rsidRPr="001649D7" w:rsidRDefault="001649D7" w:rsidP="00682757">
      <w:pPr>
        <w:spacing w:after="0"/>
        <w:rPr>
          <w:b/>
          <w:sz w:val="28"/>
          <w:szCs w:val="28"/>
        </w:rPr>
      </w:pPr>
      <w:r w:rsidRPr="001649D7">
        <w:rPr>
          <w:b/>
          <w:sz w:val="28"/>
          <w:szCs w:val="28"/>
        </w:rPr>
        <w:t>ESTETIKA</w:t>
      </w:r>
      <w:r w:rsidR="000C0642">
        <w:rPr>
          <w:b/>
          <w:sz w:val="28"/>
          <w:szCs w:val="28"/>
        </w:rPr>
        <w:t xml:space="preserve"> I FUNKCIONALNOST</w:t>
      </w:r>
    </w:p>
    <w:p w:rsidR="00682757" w:rsidRPr="00682757" w:rsidRDefault="00682757" w:rsidP="00682757">
      <w:pPr>
        <w:spacing w:after="0"/>
        <w:rPr>
          <w:b/>
        </w:rPr>
      </w:pPr>
    </w:p>
    <w:p w:rsidR="00682757" w:rsidRPr="000C0642" w:rsidRDefault="000C0642" w:rsidP="000C0642">
      <w:pPr>
        <w:spacing w:after="0"/>
        <w:jc w:val="both"/>
        <w:rPr>
          <w:sz w:val="28"/>
          <w:szCs w:val="28"/>
        </w:rPr>
      </w:pPr>
      <w:r w:rsidRPr="000C0642">
        <w:rPr>
          <w:sz w:val="28"/>
          <w:szCs w:val="28"/>
        </w:rPr>
        <w:t xml:space="preserve">Bitno je da na kraju </w:t>
      </w:r>
      <w:r>
        <w:rPr>
          <w:sz w:val="28"/>
          <w:szCs w:val="28"/>
        </w:rPr>
        <w:t xml:space="preserve">dobijemo suvomeđu koja figura, ali koji bi zaista mogla stajati i opstati na terenu. Za to je važan način slaganja na preklop, blaga nagnutost svakog kamena ka unutra, popuna šupljina, odabir optimalnog omjera većeg i manjeg kamenja, ubacivanje veznjaka, postavljanje kamena po horizontali... </w:t>
      </w:r>
    </w:p>
    <w:p w:rsidR="00682757" w:rsidRDefault="00682757" w:rsidP="00682757">
      <w:pPr>
        <w:spacing w:after="0"/>
      </w:pPr>
    </w:p>
    <w:p w:rsidR="000C0642" w:rsidRDefault="000C0642" w:rsidP="000C0642">
      <w:pPr>
        <w:spacing w:after="0"/>
        <w:rPr>
          <w:sz w:val="28"/>
          <w:szCs w:val="28"/>
        </w:rPr>
      </w:pPr>
      <w:r>
        <w:rPr>
          <w:sz w:val="28"/>
          <w:szCs w:val="28"/>
        </w:rPr>
        <w:t>Bodovanje je od 1 do 10 poena</w:t>
      </w:r>
    </w:p>
    <w:p w:rsidR="00682757" w:rsidRDefault="00682757" w:rsidP="00682757">
      <w:pPr>
        <w:spacing w:after="0"/>
      </w:pPr>
    </w:p>
    <w:p w:rsidR="00682757" w:rsidRDefault="00682757" w:rsidP="00682757">
      <w:pPr>
        <w:spacing w:after="0"/>
      </w:pPr>
    </w:p>
    <w:p w:rsidR="00802C5E" w:rsidRDefault="00802C5E" w:rsidP="00682757">
      <w:pPr>
        <w:spacing w:after="0"/>
      </w:pPr>
    </w:p>
    <w:p w:rsidR="00802C5E" w:rsidRPr="001649D7" w:rsidRDefault="00802C5E" w:rsidP="00802C5E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NAGRADE</w:t>
      </w:r>
    </w:p>
    <w:p w:rsidR="00682757" w:rsidRDefault="00682757" w:rsidP="00682757">
      <w:pPr>
        <w:spacing w:after="0"/>
        <w:rPr>
          <w:sz w:val="28"/>
          <w:szCs w:val="28"/>
        </w:rPr>
      </w:pPr>
    </w:p>
    <w:p w:rsidR="00802C5E" w:rsidRDefault="00802C5E" w:rsidP="00682757">
      <w:pPr>
        <w:spacing w:after="0"/>
        <w:rPr>
          <w:sz w:val="28"/>
          <w:szCs w:val="28"/>
        </w:rPr>
      </w:pPr>
    </w:p>
    <w:p w:rsidR="00802C5E" w:rsidRPr="00802C5E" w:rsidRDefault="00802C5E" w:rsidP="00802C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Sve ekipe dobijaju zahvalnice, a prve tri i diplome za osvojena mjesta. Prvoplasirana ekipa dobija prelazni pehar „Orjensku bužu“, dar umjetnika i planinara, Dejana Veriga. Takođe, za najbolje su obezbijeđeni i poklon-paketići NVU „Ruke“, sa autohtonim i ručno rađenim gastro-suvenirima.</w:t>
      </w:r>
    </w:p>
    <w:sectPr w:rsidR="00802C5E" w:rsidRPr="00802C5E" w:rsidSect="00FC1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57"/>
    <w:rsid w:val="000C0642"/>
    <w:rsid w:val="001649D7"/>
    <w:rsid w:val="00192EBE"/>
    <w:rsid w:val="003C02EA"/>
    <w:rsid w:val="0045794A"/>
    <w:rsid w:val="00682757"/>
    <w:rsid w:val="00724F0C"/>
    <w:rsid w:val="007E7198"/>
    <w:rsid w:val="00802C5E"/>
    <w:rsid w:val="009A7A7D"/>
    <w:rsid w:val="00AA2FF5"/>
    <w:rsid w:val="00C05357"/>
    <w:rsid w:val="00D55D6A"/>
    <w:rsid w:val="00DC032F"/>
    <w:rsid w:val="00E3326F"/>
    <w:rsid w:val="00E92908"/>
    <w:rsid w:val="00FC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9632A-E446-489C-B58D-45FF10C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2019-06-21T08:56:00Z</dcterms:created>
  <dcterms:modified xsi:type="dcterms:W3CDTF">2019-06-21T08:56:00Z</dcterms:modified>
</cp:coreProperties>
</file>